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238" w:lineRule="exac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ОТЧЕТ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0"/>
        <w:jc w:val="center"/>
        <w:spacing w:before="0" w:after="0" w:line="238" w:lineRule="exact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об оценке результатов реализации проектов, </w:t>
        <w:br/>
        <w:t xml:space="preserve">получивших поддержку в 2022 году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  <w:t xml:space="preserve">Оценка результатов реализации проектов организациями – победителями конкурса грантов Губернатора Алтайского кр</w:t>
      </w:r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  <w:t xml:space="preserve">ая в сфере деятельности социально ориентированных некоммерческих организаций проводится в целях определения эффективности использования грантов и формирования перечня организаций, успешно реализовавших социально значимый проект.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В 2022 году по итогам конкурса социально значимых проектов на предоставление грантов Губернатора Алтайского края в сфере деятельности социально ориентированных некоммерческих организаций победителями признаны 37 проек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то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в НКО. География проектов представлена 3 городами – Барнаул, Бийск, Рубцовск и 4 районами края – Залесовским, Косихинским районами, Немецким национальным районом, Усть-Калманским районом. По направлениям проекты – победители распределены следующим образом: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Cоциальное обслуживание, социальная поддержка и защита граждан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– 9 проектов;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Охрана здоровья граждан, пропаганда здорового образа жизни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– 6 проектов;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Поддержка семьи, материнства, отцовства  и детства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– 5 проектов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Сохранение исторической памяти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– 3 проекта;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Поддержка проектов в области культуры и искусства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– 2 проекта;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  <w:suppressLineNumbers w:val="0"/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>
        <w:rPr>
          <w:rFonts w:ascii="PT Astra Serif" w:hAnsi="PT Astra Serif" w:eastAsia="Times New Roman CYR" w:cs="PT Astra Serif"/>
          <w:position w:val="0"/>
          <w:sz w:val="28"/>
          <w:szCs w:val="28"/>
          <w:highlight w:val="none"/>
          <w:lang w:val="ru-RU" w:bidi="ru-RU"/>
        </w:rPr>
        <w:t xml:space="preserve">Поддержка проектов в области науки, образования, просвещения</w:t>
      </w:r>
      <w:r>
        <w:rPr>
          <w:rFonts w:ascii="PT Astra Serif" w:hAnsi="PT Astra Serif" w:eastAsia="Times New Roman CYR" w:cs="PT Astra Serif"/>
          <w:position w:val="0"/>
          <w:sz w:val="28"/>
          <w:szCs w:val="28"/>
          <w:highlight w:val="none"/>
          <w:lang w:val="ru-RU" w:bidi="ru-RU"/>
        </w:rPr>
        <w:t xml:space="preserve"> – 2 проекта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– 1 проект;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Охрана окружающей среды и защита животных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– 1 проект.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Р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еал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изация социально значимых проектов предусмотрена в 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срок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 д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о 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3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1 июля 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20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2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3 год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а. Сроки сдачи отчетности – до 31 августа 2023 года. 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В со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ответствии с п. 6.1 порядка предоставления грантов Губернатора Алтайского края в сфере деятельности СОНКО (далее – порядок) оценку 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резул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ьтатов реализации поддержанных проектов осуществляет департамент Администрации Губернатора и Правительства Алтайского края по вопросам внутренней политики на основании представленных получателем гранта отчетов, в частности, отчета 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 достижении значений результата предоставления гранта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и итогового содержательного отчета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, в течение двух месяцев со дня предоставления отчетности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Таким образом, в 2023 году оценены результаты реализации 37 проектов. 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  <w:t xml:space="preserve">Оценка включает в себя следующие показатели: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bookmarkEnd w:id="0"/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  <w:t xml:space="preserve">уровень выполнения запланированных мероприятий проекта (%), который определяется как процентное отношение выполненных и запланированных мероприятий;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  <w:t xml:space="preserve">количество участников мероприятий (чел.);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  <w:t xml:space="preserve">количество благополучателей проекта (чел.);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  <w:t xml:space="preserve">количество добровольцев, привлеченных к реализации проекта (чел.);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 CYR" w:cs="PT Astra Serif"/>
          <w:sz w:val="28"/>
          <w:szCs w:val="28"/>
          <w:lang w:val="ru-RU" w:bidi="ru-RU"/>
        </w:rPr>
        <w:t xml:space="preserve">объем привлеченных средств на реализацию проекта (руб.);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уровень эффективности использования гранта (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%), который определяется как среднее арифметическое процентов достижения показателей результативности предоставления гранта, указанных в соглашении, включая вышеперечисленные. При этом процент достижения каждого показателя результативности предоставления г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р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анта рассчитывается делением достигнутого значения показателя на запланированное значение, указанное в соглашении, и умножением полученного результата на 100, а в случае, если результат деления и последующего умножения превышает 100, признается равным 100.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  <w:t xml:space="preserve">Наряду с вышеназванными показателями анализировался обозначенный в соглашении показатель результативности «количество размещенной в СМИ информации о реализации проекта»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Анализ 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отчетов 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 достижении значений результата предоставления гранта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и итоговых содержательных отчетов выявил, что все запланированные показатели организациями достигнуты. </w:t>
      </w:r>
      <w:r>
        <w:rPr>
          <w:rFonts w:ascii="PT Astra Serif" w:hAnsi="PT Astra Serif" w:cs="PT Astra Serif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При этом превышены показатели: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количество мероприятий – в 8 проектах из 37 оцененных, что составляет 21,6%;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количество участников мероприятий – в 14 проектах (37,8%);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количество благополучателей – в 22 проектах (59,4%);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количество добровольцев – в 15 проектах из 29 проектов, задействовавших добровольцев (51,7%);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количество информации о реализации проекта в СМИ – в 31 проекте из 27 оцененных (83,7%);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объем привлеченного софинансирования – в 13 проектах из 37 (35%).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Меньший по сравнению с указанным в соглашении о предоставлении гранта объем привлеченных средств на реализацию проекта указан в отчетах 7 проектов (18,9%). В двух отчетах информация о данном показателе отсутствует.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Данный показатель повлиял на уровень эффективности использования гранта и общий вывод об успешности реализации проекта.</w:t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В целях определения общего вывода об успешности реа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лизации проектов на основе предоставленных отчетов и проверки наличия информации в открытых источниках определен уровень информационной открытости проектов оценками «высокий», «средний» или «низкий» в соответствии с критериями, указанными в п. 6.3 порядка.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  <w:t xml:space="preserve">26 из 37 проектов (70,3%) имеет высокий уровень информационной открытости, т.е. реализация большинства проектов регулярно освещалась в СМИ и на страницах социальных сетей, информация о мероприятиях размещена в открытом доступе.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  <w:t xml:space="preserve">11 проектов п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о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лучили оце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нку «средний» уровень информационной открытости, данные проекты освещались в СМИ на нерегулярной основе или с использованием одного информационного ресурса, например, на разных ресурсах размещалась однократно подготовленная информация о реализации проекта.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r>
      <w:r/>
    </w:p>
    <w:p>
      <w:pPr>
        <w:ind w:left="0" w:right="0" w:firstLine="709"/>
        <w:jc w:val="both"/>
        <w:spacing w:before="0" w:after="0" w:line="240" w:lineRule="auto"/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На основе анализа информаци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и и опыта взаимодействия департамента с организациями – победителями по вопросам организации и проведения мероприятий, размещения информации о мероприятиях проектов, подготовки и сдачи отчетности сделан общий вывод об успешности реализации проектов.</w:t>
      </w:r>
      <w:r>
        <w:rPr>
          <w:rFonts w:ascii="PT Astra Serif" w:hAnsi="PT Astra Serif" w:cs="PT Astra Serif"/>
          <w:sz w:val="28"/>
          <w:szCs w:val="28"/>
          <w:highlight w:val="none"/>
          <w14:ligatures w14:val="none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Успешно реализованными признаны 34 проекта из 37. Сп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исок прилагается (приложение 1). 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Удовлетворительно реализованными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признаны три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проекта, имеющие средний уровень эффективности использования гранта (ниже 90%), при этом один проект дополнительно имеет замечания по срокам сдачи отчетности по проекту. Список прилагается (приложение 2). 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Неудовлетворительно 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реализованные проекты 2022 года в крае отсутствуют.</w:t>
      </w: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  <w14:ligatures w14:val="none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PT Astra Serif" w:hAnsi="PT Astra Serif" w:cs="PT Astra Serif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Times New Roman CYR" w:cs="PT Astra Serif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PT Astra Serif" w:hAnsi="PT Astra Serif" w:eastAsia="Times New Roman CYR" w:cs="PT Astra Serif"/>
          <w:sz w:val="24"/>
          <w:szCs w:val="24"/>
          <w:lang w:val="ru-RU" w:bidi="ru-RU"/>
        </w:rPr>
      </w:r>
      <w:r>
        <w:rPr>
          <w:rFonts w:ascii="PT Astra Serif" w:hAnsi="PT Astra Serif" w:cs="PT Astra Serif"/>
        </w:rPr>
      </w:r>
      <w:r/>
    </w:p>
    <w:p>
      <w:pPr>
        <w:ind w:left="0" w:right="0" w:firstLine="720"/>
        <w:jc w:val="right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Times New Roman CYR" w:cs="PT Astra Serif"/>
          <w:sz w:val="24"/>
          <w:szCs w:val="24"/>
          <w:highlight w:val="none"/>
          <w:lang w:val="ru-RU" w:bidi="ru-RU"/>
        </w:rPr>
        <w:t xml:space="preserve">Приложение 1</w:t>
      </w:r>
      <w:r>
        <w:rPr>
          <w:rFonts w:ascii="PT Astra Serif" w:hAnsi="PT Astra Serif" w:cs="PT Astra Serif"/>
        </w:rPr>
      </w:r>
      <w:r/>
    </w:p>
    <w:p>
      <w:pPr>
        <w:ind w:left="0" w:right="0" w:firstLine="720"/>
        <w:jc w:val="center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Times New Roman CYR" w:cs="PT Astra Serif"/>
          <w:sz w:val="24"/>
          <w:szCs w:val="24"/>
          <w:lang w:val="ru-RU" w:bidi="ru-RU"/>
        </w:rPr>
        <w:t xml:space="preserve">Список успешно реализованных проектов 2022 года</w:t>
      </w:r>
      <w:r>
        <w:rPr>
          <w:rFonts w:ascii="PT Astra Serif" w:hAnsi="PT Astra Serif" w:cs="PT Astra Serif"/>
        </w:rPr>
      </w:r>
      <w:r/>
    </w:p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Times New Roman CYR" w:cs="PT Astra Serif"/>
          <w:sz w:val="24"/>
          <w:szCs w:val="24"/>
          <w:lang w:val="ru-RU" w:bidi="ru-RU"/>
        </w:rPr>
      </w:r>
      <w:r>
        <w:rPr>
          <w:rFonts w:ascii="PT Astra Serif" w:hAnsi="PT Astra Serif" w:cs="PT Astra Serif"/>
        </w:rPr>
      </w:r>
      <w:r/>
    </w:p>
    <w:tbl>
      <w:tblPr>
        <w:tblStyle w:val="68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2"/>
        <w:gridCol w:w="3240"/>
        <w:gridCol w:w="4555"/>
        <w:gridCol w:w="3098"/>
        <w:gridCol w:w="1701"/>
        <w:gridCol w:w="1862"/>
      </w:tblGrid>
      <w:tr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№ заявки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Название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проекта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Грантовое направление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Одобренный размер гранта, руб.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Фактически использованная сумма гранта, руб.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Р22-22-1-000005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Спортивные видео-клипы "Поэзия Алтая"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"ЛИГА ФИГУРИСТОВ АЛТАЯ"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Охрана здоровья граждан, пропаганда здорового образа жизни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206500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206500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Р22-22-1-000011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Интеллектуальные, настольные и спортивные игры, как современный способ интеграции инвалидов по зрению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Cоциальное обслуживание, социальная поддержка и защита граждан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700000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700000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Р22-22-1-000013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«Шумбрачи, эрзянь мастор!» (Здравствуй, земля мордовская)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РАЗВИТИЯ ГРАЖДАНСКИХ ИНИЦИАТИВ "СЕЛЯНЕ"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474820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474820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Р22-22-1-000014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Перекрёсток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ОБЩЕСТВЕННАЯ ОРГАНИЗАЦИЯ "ЦЕНТР СОЦИАЛЬНОГО РАЗВИТИЯ СЕМЬИ"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Развитие институтов гражданского общества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700000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700000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Р22-22-1-000015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Социальная услуга Передышка - 2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НЕМЕЦКАЯ НАЦИОНАЛЬНАЯ РАЙОННАЯ ОБЩЕСТВЕННАЯ ОРГАНИЗАЦИЯ АЛТАЙСКОЙ КРАЕВОЙ ОБЩЕСТВЕННОЙ ОРГАНИЗАЦИИ ВСЕРОССИЙСКОГО ОБЩЕСТВА ИНВАЛИДОВ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семьи, материнства, отцовства  и детства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478100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478100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Р22-22-1-000017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ИГРОВЕСТ: школа конструктора настольных игр с дополненной реальностью Славгородского образовательного округа "Алтай на ладошке"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"ЦЕНТР ПРОЕКТНЫХ РЕШЕНИЙ ОБЩЕСТВЕННО-АКТИВНЫХ ШКОЛ"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проектов в области науки, образования, просвещения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359995,80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359995,80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Р22-22-1-000021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Краевой форум зооволонтеров "Ловить или не ловить"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БАРНАУЛЬСКАЯ ГОРОДСКАЯ ОБЩЕСТВЕННАЯ ОРГАНИЗАЦИЯ "ПРИЮТ ДЛЯ БЕЗДОМНЫХ СОБАК И КОШЕК "ЛАСКА"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Охрана окружающей среды и защита животных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698170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698170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Р22-22-1-000025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 заботой о котиках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ЗАЩИТЫ ЖИВОТНЫХ "КОТОПЕС"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Охрана окружающей среды и защита животных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698132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698132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Р22-22-1-000027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Трудоустройство инвалидов в Алтайском крае - реально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"ВМЕСТЕ ПРОТИВ РАКА"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Cоциальное обслуживание, социальная поддержка и защита граждан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571744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571744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Р22-22-1-000028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Социальный нетворкинг некоммерческого сектора Алтайского края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ОБЩЕСТВЕННАЯ ОРГАНИЗАЦИЯ "ИНСТИТУТ СОЦИАЛЬНЫХ ИННОВАЦИЙ"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Развитие институтов гражданского общества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578198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578198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Р22-22-1-000034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Цифровые мастера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СОЦИАЛЬНО ОРИЕНТИРОВАННАЯ НЕКОММЕРЧЕСКАЯ ОРГАНИЗАЦИЯ "ЛАВКА ДОБРА"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Cоциальное обслуживание, социальная поддержка и защита граждан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462763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462763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Р22-22-1-000044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Вспомним всех поименно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СОДЕЙСТВИЯ РАЗВИТИЮ СОЦИАЛЬНОЙ СФЕРЫ "ДОБРОДЕИ"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Сохранение исторической памяти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279998,76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279998,76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Р22-22-1-000048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Будь здоров на сто годов!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ТЕРРИТОРИАЛЬНОЕ ОБЩЕСТВЕННОЕ САМОУПРАВЛЕНИЕ МИКРОРАЙОНА "ПОТОК" ОКТЯБРЬСКОГО РАЙОНА Г.БАРНАУЛА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Охрана здоровья граждан, пропаганда здорового образа жизни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496668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496668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Р22-22-1-000049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Радуга возможностей. Социальная адаптация молодых инвалидов с нарушениями интеллектуального развития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ОРГАНИЗАЦИЯ ОБЩЕРОССИЙСКОЙ ОБЩЕСТВЕННОЙ ОРГАНИЗАЦИИ "ВСЕРОССИЙСКОЕ ОБЩЕСТВО ИНВАЛИДОВ"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Cоциальное обслуживание, социальная поддержка и защита граждан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575236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575236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Р22-22-1-000051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Межрегиональный фестиваль-конкурс композиторов "Песни иткульского лета"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"ТВОРЧЕСКОЕ ОБЪЕДИНЕНИЕ КОМПОЗИТОРОВ АЛТАЙСКОГО КРАЯ "ПЕСНИ ИТКУЛЬСКОГО ЛЕТА"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проектов в области культуры и искусства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700000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700000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Р22-22-1-000058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Я познаю мир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ОБЩЕСТВЕННАЯ ОРГАНИЗАЦИЯ РОДИТЕЛЕЙ ДЕТЕЙ-ИНВАЛИДОВ, ИМЕЮЩИХ ДИАГНОЗ ДЕТСКИЙ ЦЕРЕБРАЛЬНЫЙ ПАРАЛИЧ "ДЕТИ - АНГЕЛЫ" Г. БИЙСКА АЛТАЙСКОГО КРАЯ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Cоциальное обслуживание, социальная поддержка и защита граждан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647810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647810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Р22-22-1-000065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Говорить хорошо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В ПОДДЕРЖКУ ОСОЗНАННОГО РОДИТЕЛЬСТВА "ЧУДО МАМЫ"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проектов в области науки, образования, просвещения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420900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420900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Р22-22-1-000070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Первая городская школа Дубль первый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СОЦИАЛЬНО-ОРИЕНТИРОВАННАЯ ОБЩЕСТВЕННАЯ ОРГАНИЗАЦИЯ "ПРОДВИЖЕНИЕ"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проектов в области культуры и искусства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667993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667993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Р22-22-1-000085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"Гитара+" - создание гитарной студии, как социальная адаптация для детей-подростков, оказавшихся в трудной жизненной ситуации.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В СФЕРЕ МУЗЫКАЛЬНОГО РАЗВИТИЯ И ПРОСВЕЩЕНИЯ "МУЗЫКАЛЬНЫЙ АЛЬЯНС"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проектов в области культуры и искусства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312200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312200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Р22-22-1-000089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Добровольцы на страже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ПО ПОДДЕРЖКЕ МЕСТНЫХ ИНИЦИАТИВ "ФОНД РАЗВИТИЯ ЗАЛЕСОВСКОГО РАЙОНА"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Охрана окружающей среды и защита животных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319000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319000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Р22-22-1-000090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Наследники Победы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"АССОЦИАЦИЯ ДЕТСКОГО И МОЛОДЕЖНОГО ТУРИЗМА"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Сохранение исторической памяти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350000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350000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Р22-22-1-000092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Безопасно путешествовать с папой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"ЦЕНТР РАЗВИТИЯ СОЦИАЛЬНО-ПОЗНАВАТЕЛЬНОГО ТУРИЗМА "СОДРУЖЕСТВО ПУТЕШЕСТВЕННИКОВ АЛТАЯ"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семьи, материнства, отцовства  и детства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330659,71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330659,71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Р22-22-1-000101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Театр безграничных возможностей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"СЕМЕЙНЫЙ ТЕАТР "ВЗРОСЛЫЕ И ДЕТИ"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семьи, материнства, отцовства  и детства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236688,23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236688,23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Р22-22-1-000116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Пауэрлифтинг – спорт сильных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СПОРТИВНЫЙ КЛУБ ЕДИНОБОРСТВ "ЕРМАК"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Охрана здоровья граждан, пропаганда здорового образа жизни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336500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336500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Р22-22-1-000127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Территория единомышленников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ГОРОДСКОЙ БЛАГОТВОРИТЕЛЬНЫЙ ФОНД "РАЗВИТИЕ"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Развитие институтов гражданского общества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698572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698572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Р22-22-1-000128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Развитие учебно-консультационной базы по обеспечению гражданской защиты населения от чрезвычайных ситуаций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ТЕРРИТОРИАЛЬНОЕ ОБЩЕСТВЕННОЕ САМОУПРАВЛЕНИЕ "ДОКУЧАЕВСКИЙ" ЛЕНИНСКОГО РАЙОНА ГОРОДА БАРНАУЛА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Развитие институтов гражданского общества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181800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181800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Р22-22-1-000134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Инклюзивные технологии интеграции и адаптации мигрантов в образовательной среде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ПСИХОЛОГО-СОЦИАЛЬНОГО СОПРОВОЖДЕНИЯ И ОХРАНЫ ЗДОРОВЬЯ "ПОЗИТИВНОЕ РАЗВИТИЕ"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698808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698808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Р22-22-1-000136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РЕГИОНАЛЬНАЯ ОБЩЕСТВЕННАЯ ОРГАНИЗАЦИЯ ПО ОКАЗАНИЮ СОЦИАЛЬНОЙ ПОМОЩИ НАСЕЛЕНИЮ "ЗДОРОВАЯ НАЦИЯ"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Cоциальное обслуживание, социальная поддержка и защита граждан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498840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498840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Р22-22-1-000138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Гражданско-патриотический проект «Моя Родина - Россия»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АЛТАЙСКИЙ РЕГИОНАЛЬНЫЙ ОБЩЕСТВЕННЫЙ ФОНД БЛАГОТВОРИТЕЛЬНЫХ И СОЦИАЛЬНЫХ ПРОГРАММ "ЗВЕЗДНЫЙ СВЕТ"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Сохранение исторической памяти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517637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517637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Р22-22-1-000141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Открытый турнир по интеллектуальным играм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АВТОНОМНАЯ НЕКОММЕРЧЕСКАЯ ОРГАНИЗАЦИЯ "ЦЕНТР ИНТЕЛЛЕКТУАЛЬНОГО РАЗВИТИЯ"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342250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342250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Р22-22-1-000143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Межведомственная служба ранней комплексной помощи семьям с детьми с ОВЗ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ПО ОКАЗАНИЮ ПОМОЩИ ЛЮДЯМ, НАХОДЯЩИМСЯ В ТРУДНОЙ ЖИЗНЕННОЙ СИТУАЦИИ "БЕЛЫЕ ВЕРШИНЫ"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семьи, материнства, отцовства  и детства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622805,50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622805,50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Р22-22-1-000148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Медиапроект "Поговорим о профессии"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СОЦИАЛЬНО-ОРИЕНТИРОВАННАЯ ОРГАНИЗАЦИЯ "РУБЦОВСК МОЛОДОЙ"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463393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463393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Р22-22-1-000163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Путешествуем и познаем мир 2022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АЛТАЙСКАЯ КРАЕВАЯ ОБЩЕСТВЕННАЯ ОРГАНИЗАЦИЯ СОЦИАЛЬНОЙ ПОДДЕРЖКИ "СИНЕРДЖИ"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Cоциальное обслуживание, социальная поддержка и защита граждан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430000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430000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14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Р22-22-1-000164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240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География: четыре сезона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5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АЛТАЙСКОЕ КРАЕВОЕ ОТДЕЛЕНИЕ ВСЕРОССИЙСКОЙ ОБЩЕСТВЕННОЙ ОРГАНИЗАЦИИ "РУССКОЕ ГЕОГРАФИЧЕСКОЕ ОБЩЕСТВО"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Поддержка проектов в области науки, образования, просвещения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551010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551010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Times New Roman CYR" w:cs="PT Astra Serif"/>
          <w:sz w:val="24"/>
          <w:szCs w:val="24"/>
          <w:highlight w:val="none"/>
          <w:lang w:val="ru-RU" w:bidi="ru-RU"/>
        </w:rPr>
      </w:r>
      <w:r>
        <w:rPr>
          <w:rFonts w:ascii="PT Astra Serif" w:hAnsi="PT Astra Serif" w:cs="PT Astra Serif"/>
        </w:rPr>
      </w:r>
      <w:r/>
    </w:p>
    <w:p>
      <w:pPr>
        <w:shd w:val="nil" w:color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Times New Roman CYR" w:cs="PT Astra Serif"/>
          <w:sz w:val="24"/>
          <w:szCs w:val="24"/>
          <w:highlight w:val="none"/>
          <w:lang w:val="ru-RU" w:bidi="ru-RU"/>
        </w:rPr>
        <w:br w:type="page" w:clear="all"/>
      </w:r>
      <w:r>
        <w:rPr>
          <w:rFonts w:ascii="PT Astra Serif" w:hAnsi="PT Astra Serif" w:cs="PT Astra Serif"/>
        </w:rPr>
      </w:r>
      <w:r/>
    </w:p>
    <w:p>
      <w:pPr>
        <w:ind w:left="0" w:right="0" w:firstLine="720"/>
        <w:jc w:val="right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eastAsia="Times New Roman CYR" w:cs="PT Astra Serif"/>
          <w:sz w:val="24"/>
          <w:szCs w:val="24"/>
          <w:highlight w:val="none"/>
          <w:lang w:val="ru-RU" w:bidi="ru-RU"/>
        </w:rPr>
        <w:t xml:space="preserve">Приложение 2</w:t>
      </w:r>
      <w:r>
        <w:rPr>
          <w:rFonts w:ascii="PT Astra Serif" w:hAnsi="PT Astra Serif" w:cs="PT Astra Serif"/>
        </w:rPr>
      </w:r>
      <w:r/>
    </w:p>
    <w:p>
      <w:pPr>
        <w:ind w:left="0" w:right="0" w:firstLine="720"/>
        <w:jc w:val="center"/>
        <w:spacing w:before="0" w:after="0" w:line="240" w:lineRule="auto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Times New Roman CYR" w:cs="PT Astra Serif"/>
          <w:sz w:val="24"/>
          <w:szCs w:val="24"/>
          <w:lang w:val="ru-RU" w:bidi="ru-RU"/>
        </w:rPr>
        <w:t xml:space="preserve">Список удовлетворительно реализованных проектов</w:t>
      </w:r>
      <w:r>
        <w:rPr>
          <w:rFonts w:ascii="PT Astra Serif" w:hAnsi="PT Astra Serif" w:eastAsia="Times New Roman CYR" w:cs="PT Astra Serif"/>
          <w:sz w:val="24"/>
          <w:szCs w:val="24"/>
          <w:lang w:val="ru-RU" w:bidi="ru-RU"/>
        </w:rPr>
        <w:t xml:space="preserve"> 2022 года</w:t>
      </w:r>
      <w:r>
        <w:rPr>
          <w:rFonts w:ascii="PT Astra Serif" w:hAnsi="PT Astra Serif" w:cs="PT Astra Serif"/>
        </w:rPr>
      </w:r>
      <w:r/>
    </w:p>
    <w:p>
      <w:pPr>
        <w:ind w:left="0" w:right="0" w:firstLine="720"/>
        <w:jc w:val="center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/>
    </w:p>
    <w:p>
      <w:pPr>
        <w:ind w:left="0" w:right="0" w:firstLine="720"/>
        <w:jc w:val="center"/>
        <w:spacing w:before="0" w:after="0" w:line="240" w:lineRule="auto"/>
        <w:rPr>
          <w:rFonts w:ascii="PT Astra Serif" w:hAnsi="PT Astra Serif" w:cs="PT Astra Serif"/>
          <w:sz w:val="24"/>
          <w:szCs w:val="24"/>
          <w:highlight w:val="none"/>
        </w:rPr>
      </w:pP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/>
    </w:p>
    <w:tbl>
      <w:tblPr>
        <w:tblStyle w:val="68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1"/>
        <w:gridCol w:w="3301"/>
        <w:gridCol w:w="4556"/>
        <w:gridCol w:w="3098"/>
        <w:gridCol w:w="1701"/>
        <w:gridCol w:w="1862"/>
      </w:tblGrid>
      <w:tr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08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№ заявки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3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Название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проекта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Наименование организации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Грантовое направление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Одобренный размер гранта, руб.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Фактически использованная сумма гранта, руб.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08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Р22-22-1-000029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30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Киноальманах "На полную громкость"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6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АВТОНОМНАЯ НЕКОММЕРЧЕСКАЯ ОРГАНИЗАЦИЯ СОДЕЙСТВИЯ РАЗВИТИЮ КИНЕМАТОГРАФА "ДОМ КИНО"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Поддержка проектов в области науки, образования, просвещения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670584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639197,89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08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Р22-22-1-000091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30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Проект «Журналистика без границ - все районы  в онлайн»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6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АЛТАЙСКАЯ РЕГИОНАЛЬНАЯ ОБЩЕСТВЕННАЯ ОРГАНИЗАЦИЯ "ЦЕНТР СОЦИАЛЬНЫХ ТЕХНОЛОГИЙ "ТЕРРИТОРИЯ22"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Поддержка проектов в области науки, образования, просвещения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306724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303924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08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Р22-22-1-000093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301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Окружная медиашкола студенческих отрядов Сибирского федерального округа «СибФОМедиа»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4556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АЛТАЙСКОЕ РЕГИОНАЛЬНОЕ ОТДЕЛЕНИЕ МОЛОДЕЖНОЙ ОБЩЕРОССИЙСКОЙ ОБЩЕСТВЕННОЙ ОРГАНИЗАЦИИ "РОССИЙСКИЕ СТУДЕНЧЕСКИЕ ОТРЯДЫ"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3098" w:type="dxa"/>
            <w:vAlign w:val="top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415500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62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Calibri" w:cs="PT Astra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415500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/>
          </w:p>
        </w:tc>
      </w:tr>
    </w:tbl>
    <w:p>
      <w:pPr>
        <w:ind w:left="0" w:right="0" w:firstLine="720"/>
        <w:jc w:val="both"/>
        <w:spacing w:before="0"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Times New Roman CYR" w:cs="PT Astra Serif"/>
          <w:sz w:val="24"/>
          <w:szCs w:val="24"/>
          <w:lang w:val="ru-RU" w:bidi="ru-RU"/>
        </w:rPr>
      </w:r>
      <w:r>
        <w:rPr>
          <w:rFonts w:ascii="PT Astra Serif" w:hAnsi="PT Astra Serif" w:cs="PT Astra Serif"/>
        </w:rPr>
      </w:r>
      <w:r/>
    </w:p>
    <w:sectPr>
      <w:headerReference w:type="default" r:id="rId9"/>
      <w:footnotePr/>
      <w:endnotePr/>
      <w:type w:val="continuous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character" w:styleId="836" w:customStyle="1">
    <w:name w:val="Гипертекстовая ссылка"/>
    <w:rPr>
      <w:rFonts w:ascii="Times New Roman" w:hAnsi="Times New Roman" w:eastAsia="Times New Roman" w:cs="Times New Roman"/>
      <w:b w:val="0"/>
      <w:color w:val="106bbe"/>
      <w:sz w:val="24"/>
    </w:rPr>
  </w:style>
  <w:style w:type="paragraph" w:styleId="837" w:customStyle="1">
    <w:name w:val="Без интервала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2023-09-26T03:15:32Z</dcterms:modified>
</cp:coreProperties>
</file>